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22A35" w14:textId="2D4AC22A" w:rsidR="00130EF5" w:rsidRPr="000B6ED2" w:rsidRDefault="00130EF5" w:rsidP="00111DF3">
      <w:pPr>
        <w:jc w:val="center"/>
        <w:rPr>
          <w:rFonts w:ascii="Calibri" w:hAnsi="Calibri" w:cs="Calibri"/>
          <w:b/>
          <w:bCs/>
          <w:lang w:val="en-US"/>
        </w:rPr>
      </w:pPr>
      <w:r w:rsidRPr="000B6ED2">
        <w:rPr>
          <w:rFonts w:ascii="Calibri" w:hAnsi="Calibri" w:cs="Calibri"/>
          <w:b/>
          <w:bCs/>
          <w:lang w:val="en-US"/>
        </w:rPr>
        <w:t>Annexure-</w:t>
      </w:r>
      <w:r w:rsidR="007361F2">
        <w:rPr>
          <w:rFonts w:ascii="Calibri" w:hAnsi="Calibri" w:cs="Calibri"/>
          <w:b/>
          <w:bCs/>
          <w:lang w:val="en-US"/>
        </w:rPr>
        <w:t>2</w:t>
      </w:r>
      <w:r w:rsidR="00D63025" w:rsidRPr="000B6ED2">
        <w:rPr>
          <w:rFonts w:ascii="Calibri" w:hAnsi="Calibri" w:cs="Calibri"/>
          <w:b/>
          <w:bCs/>
          <w:lang w:val="en-US"/>
        </w:rPr>
        <w:t xml:space="preserve"> </w:t>
      </w:r>
    </w:p>
    <w:p w14:paraId="31527927" w14:textId="58149888" w:rsidR="00D63025" w:rsidRPr="00CD78EA" w:rsidRDefault="0023604A" w:rsidP="00CD78EA">
      <w:pPr>
        <w:pStyle w:val="ListParagraph"/>
        <w:numPr>
          <w:ilvl w:val="0"/>
          <w:numId w:val="8"/>
        </w:numPr>
        <w:jc w:val="center"/>
        <w:rPr>
          <w:rFonts w:ascii="Calibri" w:hAnsi="Calibri" w:cs="Calibri"/>
          <w:b/>
          <w:bCs/>
          <w:lang w:val="en-US"/>
        </w:rPr>
      </w:pPr>
      <w:r w:rsidRPr="00CD78EA">
        <w:rPr>
          <w:rFonts w:ascii="Calibri" w:hAnsi="Calibri" w:cs="Calibri"/>
          <w:b/>
          <w:bCs/>
          <w:lang w:val="en-US"/>
        </w:rPr>
        <w:t>Auditor</w:t>
      </w:r>
      <w:r w:rsidR="00130EF5" w:rsidRPr="00CD78EA">
        <w:rPr>
          <w:rFonts w:ascii="Calibri" w:hAnsi="Calibri" w:cs="Calibri"/>
          <w:b/>
          <w:bCs/>
          <w:lang w:val="en-US"/>
        </w:rPr>
        <w:t xml:space="preserve"> Selection</w:t>
      </w:r>
      <w:r w:rsidRPr="00CD78EA">
        <w:rPr>
          <w:rFonts w:ascii="Calibri" w:hAnsi="Calibri" w:cs="Calibri"/>
          <w:b/>
          <w:bCs/>
          <w:lang w:val="en-US"/>
        </w:rPr>
        <w:t xml:space="preserve"> Norm</w:t>
      </w:r>
      <w:r w:rsidR="00130EF5" w:rsidRPr="00CD78EA">
        <w:rPr>
          <w:rFonts w:ascii="Calibri" w:hAnsi="Calibri" w:cs="Calibri"/>
          <w:b/>
          <w:bCs/>
          <w:lang w:val="en-US"/>
        </w:rPr>
        <w:t>s for System Audit</w:t>
      </w:r>
    </w:p>
    <w:p w14:paraId="79A5A6B1" w14:textId="1403E9EF" w:rsidR="0023604A" w:rsidRPr="00692EF6" w:rsidRDefault="00241A16" w:rsidP="00D63025">
      <w:pPr>
        <w:pStyle w:val="ListParagraph"/>
        <w:numPr>
          <w:ilvl w:val="0"/>
          <w:numId w:val="2"/>
        </w:numPr>
        <w:jc w:val="both"/>
        <w:rPr>
          <w:rFonts w:ascii="Calibri" w:hAnsi="Calibri" w:cs="Calibri"/>
        </w:rPr>
      </w:pPr>
      <w:r w:rsidRPr="000B6ED2">
        <w:rPr>
          <w:rFonts w:ascii="Calibri" w:hAnsi="Calibri" w:cs="Calibri"/>
        </w:rPr>
        <w:t>T</w:t>
      </w:r>
      <w:r w:rsidR="0023604A" w:rsidRPr="000B6ED2">
        <w:rPr>
          <w:rFonts w:ascii="Calibri" w:hAnsi="Calibri" w:cs="Calibri"/>
        </w:rPr>
        <w:t>he Audit firm/LLP/Company having 3 years or more experience, can take assignment of conducting system audit of</w:t>
      </w:r>
      <w:r w:rsidRPr="000B6ED2">
        <w:rPr>
          <w:rFonts w:ascii="Calibri" w:hAnsi="Calibri" w:cs="Calibri"/>
        </w:rPr>
        <w:t xml:space="preserve"> CaaS</w:t>
      </w:r>
      <w:r w:rsidR="0023604A" w:rsidRPr="000B6ED2">
        <w:rPr>
          <w:rFonts w:ascii="Calibri" w:hAnsi="Calibri" w:cs="Calibri"/>
        </w:rPr>
        <w:t xml:space="preserve"> </w:t>
      </w:r>
      <w:r w:rsidRPr="000B6ED2">
        <w:rPr>
          <w:rFonts w:ascii="Calibri" w:hAnsi="Calibri" w:cs="Calibri"/>
        </w:rPr>
        <w:t>Vendor</w:t>
      </w:r>
      <w:r w:rsidR="0023604A" w:rsidRPr="000B6ED2">
        <w:rPr>
          <w:rFonts w:ascii="Calibri" w:hAnsi="Calibri" w:cs="Calibri"/>
        </w:rPr>
        <w:t>. In addition, the Audit Firm/LLP/Company which undertakes the System Audit of shall have always at least three Partners/Directors having a valid CISA(ISACA)/</w:t>
      </w:r>
      <w:r w:rsidR="000B09AF" w:rsidRPr="000B6ED2">
        <w:rPr>
          <w:rFonts w:ascii="Calibri" w:hAnsi="Calibri" w:cs="Calibri"/>
        </w:rPr>
        <w:t xml:space="preserve"> </w:t>
      </w:r>
      <w:r w:rsidR="0023604A" w:rsidRPr="000B6ED2">
        <w:rPr>
          <w:rFonts w:ascii="Calibri" w:hAnsi="Calibri" w:cs="Calibri"/>
        </w:rPr>
        <w:t>DISA(ICAI)/</w:t>
      </w:r>
      <w:r w:rsidR="000B09AF" w:rsidRPr="000B6ED2">
        <w:rPr>
          <w:rFonts w:ascii="Calibri" w:hAnsi="Calibri" w:cs="Calibri"/>
        </w:rPr>
        <w:t xml:space="preserve"> </w:t>
      </w:r>
      <w:r w:rsidR="0023604A" w:rsidRPr="000B6ED2">
        <w:rPr>
          <w:rFonts w:ascii="Calibri" w:hAnsi="Calibri" w:cs="Calibri"/>
        </w:rPr>
        <w:t>CISM(ISACA) /CISSP(ISC2) Certification, of which at least two Partners/Directors should be full-time Partners/ Whole Time Directors. The partner of firm/</w:t>
      </w:r>
      <w:r w:rsidR="000B09AF" w:rsidRPr="000B6ED2">
        <w:rPr>
          <w:rFonts w:ascii="Calibri" w:hAnsi="Calibri" w:cs="Calibri"/>
        </w:rPr>
        <w:t xml:space="preserve"> </w:t>
      </w:r>
      <w:r w:rsidR="0023604A" w:rsidRPr="000B6ED2">
        <w:rPr>
          <w:rFonts w:ascii="Calibri" w:hAnsi="Calibri" w:cs="Calibri"/>
        </w:rPr>
        <w:t>LLP/</w:t>
      </w:r>
      <w:r w:rsidR="000B09AF" w:rsidRPr="000B6ED2">
        <w:rPr>
          <w:rFonts w:ascii="Calibri" w:hAnsi="Calibri" w:cs="Calibri"/>
        </w:rPr>
        <w:t xml:space="preserve"> </w:t>
      </w:r>
      <w:r w:rsidR="0023604A" w:rsidRPr="000B6ED2">
        <w:rPr>
          <w:rFonts w:ascii="Calibri" w:hAnsi="Calibri" w:cs="Calibri"/>
        </w:rPr>
        <w:t xml:space="preserve">director of company signing the audit report shall have 3 years or more experience in conducting system audit of </w:t>
      </w:r>
      <w:r w:rsidR="00D82DB4">
        <w:rPr>
          <w:rFonts w:ascii="Calibri" w:hAnsi="Calibri" w:cs="Calibri"/>
        </w:rPr>
        <w:t>CaaS Vendor</w:t>
      </w:r>
      <w:r w:rsidR="00443AB9">
        <w:rPr>
          <w:rFonts w:ascii="Calibri" w:hAnsi="Calibri" w:cs="Calibri"/>
        </w:rPr>
        <w:t>/ Members</w:t>
      </w:r>
      <w:r w:rsidR="00D82DB4">
        <w:rPr>
          <w:rFonts w:ascii="Calibri" w:hAnsi="Calibri" w:cs="Calibri"/>
        </w:rPr>
        <w:t xml:space="preserve"> </w:t>
      </w:r>
      <w:r w:rsidR="0023604A" w:rsidRPr="000B6ED2">
        <w:rPr>
          <w:rFonts w:ascii="Calibri" w:hAnsi="Calibri" w:cs="Calibri"/>
        </w:rPr>
        <w:t>and shall have valid CISA(ISACA)/</w:t>
      </w:r>
      <w:r w:rsidR="000B09AF" w:rsidRPr="000B6ED2">
        <w:rPr>
          <w:rFonts w:ascii="Calibri" w:hAnsi="Calibri" w:cs="Calibri"/>
        </w:rPr>
        <w:t xml:space="preserve"> </w:t>
      </w:r>
      <w:r w:rsidR="0023604A" w:rsidRPr="000B6ED2">
        <w:rPr>
          <w:rFonts w:ascii="Calibri" w:hAnsi="Calibri" w:cs="Calibri"/>
        </w:rPr>
        <w:t>DISA(ICAI)/</w:t>
      </w:r>
      <w:r w:rsidR="000B09AF" w:rsidRPr="000B6ED2">
        <w:rPr>
          <w:rFonts w:ascii="Calibri" w:hAnsi="Calibri" w:cs="Calibri"/>
        </w:rPr>
        <w:t xml:space="preserve"> </w:t>
      </w:r>
      <w:r w:rsidR="0023604A" w:rsidRPr="000B6ED2">
        <w:rPr>
          <w:rFonts w:ascii="Calibri" w:hAnsi="Calibri" w:cs="Calibri"/>
        </w:rPr>
        <w:t>CISM(ISACA)/</w:t>
      </w:r>
      <w:r w:rsidR="000B09AF" w:rsidRPr="000B6ED2">
        <w:rPr>
          <w:rFonts w:ascii="Calibri" w:hAnsi="Calibri" w:cs="Calibri"/>
        </w:rPr>
        <w:t xml:space="preserve"> </w:t>
      </w:r>
      <w:r w:rsidR="0023604A" w:rsidRPr="000B6ED2">
        <w:rPr>
          <w:rFonts w:ascii="Calibri" w:hAnsi="Calibri" w:cs="Calibri"/>
        </w:rPr>
        <w:t>CISSP(ISC2) Certification.</w:t>
      </w:r>
    </w:p>
    <w:p w14:paraId="0D63361C" w14:textId="4C0FCC90" w:rsidR="002A3AAE" w:rsidRPr="00692EF6" w:rsidRDefault="002A3AAE" w:rsidP="002A3AAE">
      <w:pPr>
        <w:pStyle w:val="ListParagraph"/>
        <w:numPr>
          <w:ilvl w:val="0"/>
          <w:numId w:val="2"/>
        </w:numPr>
        <w:jc w:val="both"/>
        <w:rPr>
          <w:rFonts w:ascii="Calibri" w:hAnsi="Calibri" w:cs="Calibri"/>
        </w:rPr>
      </w:pPr>
      <w:r w:rsidRPr="00692EF6">
        <w:rPr>
          <w:rFonts w:ascii="Calibri" w:hAnsi="Calibri" w:cs="Calibri"/>
        </w:rPr>
        <w:t>System Auditors meeting above mentioned criteria and empanelled with Exchange can be selected/appointed for conducting system audit. The list of System Auditor empanelled with NSE is available on the website at the following link.</w:t>
      </w:r>
    </w:p>
    <w:p w14:paraId="032068DA" w14:textId="2A40A333" w:rsidR="002A3AAE" w:rsidRPr="00692EF6" w:rsidRDefault="002A3AAE" w:rsidP="002A3AAE">
      <w:pPr>
        <w:ind w:left="720"/>
        <w:jc w:val="both"/>
        <w:rPr>
          <w:rFonts w:ascii="Calibri" w:hAnsi="Calibri" w:cs="Calibri"/>
        </w:rPr>
      </w:pPr>
      <w:r w:rsidRPr="00692EF6">
        <w:rPr>
          <w:rFonts w:ascii="Calibri" w:hAnsi="Calibri" w:cs="Calibri"/>
        </w:rPr>
        <w:t>Link:</w:t>
      </w:r>
      <w:hyperlink r:id="rId7" w:history="1">
        <w:r w:rsidRPr="00692EF6">
          <w:rPr>
            <w:rStyle w:val="Hyperlink"/>
            <w:rFonts w:ascii="Calibri" w:hAnsi="Calibri" w:cs="Calibri"/>
            <w:color w:val="auto"/>
          </w:rPr>
          <w:t>https://inspection.nseindia.com/empanelment_auditor/auditor/viewEmpanelledAuditors/</w:t>
        </w:r>
      </w:hyperlink>
    </w:p>
    <w:p w14:paraId="6F395A4E" w14:textId="77777777" w:rsidR="00D82DB4" w:rsidRPr="00692EF6" w:rsidRDefault="00D82DB4" w:rsidP="00D82DB4">
      <w:pPr>
        <w:pStyle w:val="ListParagraph"/>
        <w:numPr>
          <w:ilvl w:val="0"/>
          <w:numId w:val="2"/>
        </w:numPr>
        <w:jc w:val="both"/>
        <w:rPr>
          <w:rFonts w:ascii="Calibri" w:hAnsi="Calibri" w:cs="Calibri"/>
        </w:rPr>
      </w:pPr>
      <w:r w:rsidRPr="00692EF6">
        <w:rPr>
          <w:rFonts w:ascii="Calibri" w:hAnsi="Calibri" w:cs="Calibri"/>
        </w:rPr>
        <w:t xml:space="preserve">The Audit firm/LLP/Company can perform a maximum of </w:t>
      </w:r>
      <w:r w:rsidRPr="00AF5787">
        <w:rPr>
          <w:rFonts w:ascii="Calibri" w:hAnsi="Calibri" w:cs="Calibri"/>
        </w:rPr>
        <w:t xml:space="preserve">3 consecutive years audits </w:t>
      </w:r>
      <w:r w:rsidRPr="00692EF6">
        <w:rPr>
          <w:rFonts w:ascii="Calibri" w:hAnsi="Calibri" w:cs="Calibri"/>
        </w:rPr>
        <w:t xml:space="preserve">of the CAAS Vendor. However, such Audit firm/LLP /Company shall be eligible for reappointment after a cooling-off period of </w:t>
      </w:r>
      <w:r>
        <w:rPr>
          <w:rFonts w:ascii="Calibri" w:hAnsi="Calibri" w:cs="Calibri"/>
        </w:rPr>
        <w:t>Two</w:t>
      </w:r>
      <w:r w:rsidRPr="00692EF6">
        <w:rPr>
          <w:rFonts w:ascii="Calibri" w:hAnsi="Calibri" w:cs="Calibri"/>
        </w:rPr>
        <w:t xml:space="preserve"> year.</w:t>
      </w:r>
      <w:r>
        <w:rPr>
          <w:rFonts w:ascii="Calibri" w:hAnsi="Calibri" w:cs="Calibri"/>
        </w:rPr>
        <w:t xml:space="preserve"> </w:t>
      </w:r>
    </w:p>
    <w:p w14:paraId="10C92FED" w14:textId="6359838D" w:rsidR="00A007B8" w:rsidRPr="000B6ED2" w:rsidRDefault="00A007B8" w:rsidP="00D63025">
      <w:pPr>
        <w:pStyle w:val="ListParagraph"/>
        <w:numPr>
          <w:ilvl w:val="0"/>
          <w:numId w:val="2"/>
        </w:numPr>
        <w:jc w:val="both"/>
        <w:rPr>
          <w:rFonts w:ascii="Calibri" w:hAnsi="Calibri" w:cs="Calibri"/>
        </w:rPr>
      </w:pPr>
      <w:r w:rsidRPr="000B6ED2">
        <w:rPr>
          <w:rFonts w:ascii="Calibri" w:hAnsi="Calibri" w:cs="Calibri"/>
        </w:rPr>
        <w:t>The CaaS Vendor &amp; Auditing Organization/Entity must not have any conflict of interest in conducting fair, objective and independent audit.</w:t>
      </w:r>
      <w:r w:rsidR="00811C51" w:rsidRPr="000B6ED2">
        <w:rPr>
          <w:rFonts w:ascii="Calibri" w:hAnsi="Calibri" w:cs="Calibri"/>
        </w:rPr>
        <w:t xml:space="preserve"> It shall not have been engaged over the last two years in any consulting engagement with any departments/ units of the </w:t>
      </w:r>
      <w:r w:rsidR="00031E78">
        <w:rPr>
          <w:rFonts w:ascii="Calibri" w:hAnsi="Calibri" w:cs="Calibri"/>
        </w:rPr>
        <w:t>CAAS vendor</w:t>
      </w:r>
      <w:r w:rsidR="00811C51" w:rsidRPr="000B6ED2">
        <w:rPr>
          <w:rFonts w:ascii="Calibri" w:hAnsi="Calibri" w:cs="Calibri"/>
        </w:rPr>
        <w:t xml:space="preserve"> being audited.</w:t>
      </w:r>
    </w:p>
    <w:p w14:paraId="743756A0" w14:textId="77777777" w:rsidR="0023604A" w:rsidRDefault="0023604A" w:rsidP="00D63025">
      <w:pPr>
        <w:pStyle w:val="ListParagraph"/>
        <w:numPr>
          <w:ilvl w:val="0"/>
          <w:numId w:val="2"/>
        </w:numPr>
        <w:jc w:val="both"/>
        <w:rPr>
          <w:rFonts w:ascii="Calibri" w:hAnsi="Calibri" w:cs="Calibri"/>
        </w:rPr>
      </w:pPr>
      <w:r w:rsidRPr="000B6ED2">
        <w:rPr>
          <w:rFonts w:ascii="Calibri" w:hAnsi="Calibri" w:cs="Calibri"/>
        </w:rPr>
        <w:t xml:space="preserve">The Action Taken Report, if applicable, shall be validated by the same auditor who conducted the system audit. </w:t>
      </w:r>
    </w:p>
    <w:p w14:paraId="6B14B614" w14:textId="77777777" w:rsidR="002A3AAE" w:rsidRPr="000B6ED2" w:rsidRDefault="002A3AAE" w:rsidP="002A3AAE">
      <w:pPr>
        <w:pStyle w:val="ListParagraph"/>
        <w:numPr>
          <w:ilvl w:val="0"/>
          <w:numId w:val="2"/>
        </w:numPr>
        <w:jc w:val="both"/>
        <w:rPr>
          <w:rFonts w:ascii="Calibri" w:hAnsi="Calibri" w:cs="Calibri"/>
        </w:rPr>
      </w:pPr>
      <w:r w:rsidRPr="000B6ED2">
        <w:rPr>
          <w:rFonts w:ascii="Calibri" w:hAnsi="Calibri" w:cs="Calibri"/>
        </w:rPr>
        <w:t xml:space="preserve">CaaS Vendors are required to maintain comprehensive records of the audit team members who visit their premises for a minimum period of three years. </w:t>
      </w:r>
    </w:p>
    <w:p w14:paraId="68E2431E" w14:textId="159EF62A" w:rsidR="0023604A" w:rsidRDefault="002A3AAE" w:rsidP="00692EF6">
      <w:pPr>
        <w:pStyle w:val="ListParagraph"/>
        <w:numPr>
          <w:ilvl w:val="0"/>
          <w:numId w:val="2"/>
        </w:numPr>
        <w:jc w:val="both"/>
        <w:rPr>
          <w:rFonts w:ascii="Calibri" w:hAnsi="Calibri" w:cs="Calibri"/>
        </w:rPr>
      </w:pPr>
      <w:r w:rsidRPr="000B6ED2">
        <w:rPr>
          <w:rFonts w:ascii="Calibri" w:hAnsi="Calibri" w:cs="Calibri"/>
        </w:rPr>
        <w:t xml:space="preserve">System Auditors shall preserve working papers, logs, screenshots, records of visits to the premises of the entity, POC and other evidence in support of the audit for a period not less than three years. </w:t>
      </w:r>
    </w:p>
    <w:p w14:paraId="78476CBF" w14:textId="037DB56B" w:rsidR="00443AB9" w:rsidRDefault="00443AB9" w:rsidP="00692EF6">
      <w:pPr>
        <w:pStyle w:val="ListParagraph"/>
        <w:numPr>
          <w:ilvl w:val="0"/>
          <w:numId w:val="2"/>
        </w:numPr>
        <w:jc w:val="both"/>
        <w:rPr>
          <w:rFonts w:ascii="Calibri" w:hAnsi="Calibri" w:cs="Calibri"/>
        </w:rPr>
      </w:pPr>
      <w:r w:rsidRPr="000B6ED2">
        <w:rPr>
          <w:rFonts w:ascii="Calibri" w:hAnsi="Calibri" w:cs="Calibri"/>
        </w:rPr>
        <w:t>The Auditor &amp; Auditing Organization/Entity may not have any cases pending against its previous auditees, which fall under SEBI’s Jurisdiction, which point to its incompetence and/or unsuitability to perform the audit task.</w:t>
      </w:r>
    </w:p>
    <w:p w14:paraId="21C8EEA0" w14:textId="77777777" w:rsidR="00692EF6" w:rsidRPr="00692EF6" w:rsidRDefault="00692EF6" w:rsidP="00692EF6">
      <w:pPr>
        <w:pStyle w:val="ListParagraph"/>
        <w:jc w:val="both"/>
        <w:rPr>
          <w:rFonts w:ascii="Calibri" w:hAnsi="Calibri" w:cs="Calibri"/>
        </w:rPr>
      </w:pPr>
    </w:p>
    <w:p w14:paraId="507DC3AC" w14:textId="77777777" w:rsidR="00130EF5" w:rsidRPr="000B6ED2" w:rsidRDefault="00130EF5" w:rsidP="00D63025">
      <w:pPr>
        <w:ind w:left="360"/>
        <w:jc w:val="both"/>
        <w:rPr>
          <w:rFonts w:ascii="Calibri" w:hAnsi="Calibri" w:cs="Calibri"/>
          <w:lang w:val="en-US"/>
        </w:rPr>
      </w:pPr>
    </w:p>
    <w:p w14:paraId="3B09CEAC" w14:textId="77777777" w:rsidR="00130EF5" w:rsidRPr="000B6ED2" w:rsidRDefault="00130EF5" w:rsidP="00D63025">
      <w:pPr>
        <w:ind w:left="360"/>
        <w:jc w:val="both"/>
        <w:rPr>
          <w:rFonts w:ascii="Calibri" w:hAnsi="Calibri" w:cs="Calibri"/>
          <w:lang w:val="en-US"/>
        </w:rPr>
      </w:pPr>
    </w:p>
    <w:p w14:paraId="7C962C3C" w14:textId="77777777" w:rsidR="00130EF5" w:rsidRPr="000B6ED2" w:rsidRDefault="00130EF5" w:rsidP="00D63025">
      <w:pPr>
        <w:ind w:left="360"/>
        <w:jc w:val="both"/>
        <w:rPr>
          <w:rFonts w:ascii="Calibri" w:hAnsi="Calibri" w:cs="Calibri"/>
          <w:lang w:val="en-US"/>
        </w:rPr>
      </w:pPr>
    </w:p>
    <w:p w14:paraId="790224FB" w14:textId="77777777" w:rsidR="00130EF5" w:rsidRPr="000B6ED2" w:rsidRDefault="00130EF5" w:rsidP="00CD78EA">
      <w:pPr>
        <w:jc w:val="both"/>
        <w:rPr>
          <w:rFonts w:ascii="Calibri" w:hAnsi="Calibri" w:cs="Calibri"/>
          <w:lang w:val="en-US"/>
        </w:rPr>
      </w:pPr>
    </w:p>
    <w:p w14:paraId="5E88A3F9" w14:textId="77777777" w:rsidR="00692EF6" w:rsidRDefault="00692EF6" w:rsidP="00130EF5">
      <w:pPr>
        <w:jc w:val="center"/>
        <w:rPr>
          <w:rFonts w:ascii="Calibri" w:hAnsi="Calibri" w:cs="Calibri"/>
          <w:b/>
          <w:bCs/>
          <w:lang w:val="en-US"/>
        </w:rPr>
      </w:pPr>
    </w:p>
    <w:p w14:paraId="24D0766C" w14:textId="77777777" w:rsidR="00692EF6" w:rsidRDefault="00692EF6" w:rsidP="00130EF5">
      <w:pPr>
        <w:jc w:val="center"/>
        <w:rPr>
          <w:rFonts w:ascii="Calibri" w:hAnsi="Calibri" w:cs="Calibri"/>
          <w:b/>
          <w:bCs/>
          <w:lang w:val="en-US"/>
        </w:rPr>
      </w:pPr>
    </w:p>
    <w:p w14:paraId="196F7B99" w14:textId="77777777" w:rsidR="00692EF6" w:rsidRDefault="00692EF6" w:rsidP="00130EF5">
      <w:pPr>
        <w:jc w:val="center"/>
        <w:rPr>
          <w:rFonts w:ascii="Calibri" w:hAnsi="Calibri" w:cs="Calibri"/>
          <w:b/>
          <w:bCs/>
          <w:lang w:val="en-US"/>
        </w:rPr>
      </w:pPr>
    </w:p>
    <w:p w14:paraId="30F47037" w14:textId="6C5BD10B" w:rsidR="000B6ED2" w:rsidRPr="000B6ED2" w:rsidRDefault="000B6ED2" w:rsidP="00130EF5">
      <w:pPr>
        <w:jc w:val="center"/>
        <w:rPr>
          <w:rFonts w:ascii="Calibri" w:hAnsi="Calibri" w:cs="Calibri"/>
          <w:b/>
          <w:bCs/>
          <w:lang w:val="en-US"/>
        </w:rPr>
      </w:pPr>
      <w:r w:rsidRPr="000B6ED2">
        <w:rPr>
          <w:rFonts w:ascii="Calibri" w:hAnsi="Calibri" w:cs="Calibri"/>
          <w:b/>
          <w:bCs/>
          <w:lang w:val="en-US"/>
        </w:rPr>
        <w:t>Annexure-</w:t>
      </w:r>
      <w:r w:rsidR="00725297">
        <w:rPr>
          <w:rFonts w:ascii="Calibri" w:hAnsi="Calibri" w:cs="Calibri"/>
          <w:b/>
          <w:bCs/>
          <w:lang w:val="en-US"/>
        </w:rPr>
        <w:t>2</w:t>
      </w:r>
    </w:p>
    <w:p w14:paraId="145A64C3" w14:textId="7B6F2467" w:rsidR="00130EF5" w:rsidRPr="000B6ED2" w:rsidRDefault="00CD78EA" w:rsidP="00130EF5">
      <w:pPr>
        <w:jc w:val="center"/>
        <w:rPr>
          <w:rFonts w:ascii="Calibri" w:hAnsi="Calibri" w:cs="Calibri"/>
          <w:b/>
          <w:bCs/>
          <w:lang w:val="en-US"/>
        </w:rPr>
      </w:pPr>
      <w:r>
        <w:rPr>
          <w:rFonts w:ascii="Calibri" w:hAnsi="Calibri" w:cs="Calibri"/>
          <w:b/>
          <w:bCs/>
          <w:lang w:val="en-US"/>
        </w:rPr>
        <w:t xml:space="preserve">B. </w:t>
      </w:r>
      <w:r w:rsidR="00130EF5" w:rsidRPr="000B6ED2">
        <w:rPr>
          <w:rFonts w:ascii="Calibri" w:hAnsi="Calibri" w:cs="Calibri"/>
          <w:b/>
          <w:bCs/>
          <w:lang w:val="en-US"/>
        </w:rPr>
        <w:t>Auditor Selection Norms for VAPT</w:t>
      </w:r>
    </w:p>
    <w:p w14:paraId="2B23294C" w14:textId="456DE440" w:rsidR="000B6ED2" w:rsidRPr="000B6ED2" w:rsidRDefault="000B6ED2" w:rsidP="000B6ED2">
      <w:pPr>
        <w:jc w:val="both"/>
        <w:rPr>
          <w:rFonts w:ascii="Calibri" w:hAnsi="Calibri" w:cs="Calibri"/>
        </w:rPr>
      </w:pPr>
      <w:r w:rsidRPr="000B6ED2">
        <w:rPr>
          <w:rFonts w:ascii="Calibri" w:hAnsi="Calibri" w:cs="Calibri"/>
        </w:rPr>
        <w:t>1.</w:t>
      </w:r>
      <w:r w:rsidRPr="000B6ED2">
        <w:rPr>
          <w:rFonts w:ascii="Calibri" w:hAnsi="Calibri" w:cs="Calibri"/>
        </w:rPr>
        <w:tab/>
        <w:t xml:space="preserve">Auditing Organization/Entity must mandatorily be CERT-In empanelled’. </w:t>
      </w:r>
    </w:p>
    <w:p w14:paraId="5C1D6365" w14:textId="23DA5294" w:rsidR="000B6ED2" w:rsidRPr="000B6ED2" w:rsidRDefault="000B6ED2" w:rsidP="000B6ED2">
      <w:pPr>
        <w:ind w:left="720" w:hanging="720"/>
        <w:jc w:val="both"/>
        <w:rPr>
          <w:rFonts w:ascii="Calibri" w:hAnsi="Calibri" w:cs="Calibri"/>
        </w:rPr>
      </w:pPr>
      <w:r w:rsidRPr="000B6ED2">
        <w:rPr>
          <w:rFonts w:ascii="Calibri" w:hAnsi="Calibri" w:cs="Calibri"/>
        </w:rPr>
        <w:t>2.</w:t>
      </w:r>
      <w:r w:rsidRPr="000B6ED2">
        <w:rPr>
          <w:rFonts w:ascii="Calibri" w:hAnsi="Calibri" w:cs="Calibri"/>
        </w:rPr>
        <w:tab/>
        <w:t xml:space="preserve">The auditor of Auditing Organization/Entity must have experience of performing VAPT. </w:t>
      </w:r>
    </w:p>
    <w:p w14:paraId="03782248" w14:textId="099EBDC1" w:rsidR="000B6ED2" w:rsidRPr="000B6ED2" w:rsidRDefault="000B6ED2" w:rsidP="000B6ED2">
      <w:pPr>
        <w:ind w:left="720" w:hanging="720"/>
        <w:jc w:val="both"/>
        <w:rPr>
          <w:rFonts w:ascii="Calibri" w:hAnsi="Calibri" w:cs="Calibri"/>
        </w:rPr>
      </w:pPr>
      <w:r w:rsidRPr="000B6ED2">
        <w:rPr>
          <w:rFonts w:ascii="Calibri" w:hAnsi="Calibri" w:cs="Calibri"/>
        </w:rPr>
        <w:t xml:space="preserve">3. </w:t>
      </w:r>
      <w:r w:rsidRPr="000B6ED2">
        <w:rPr>
          <w:rFonts w:ascii="Calibri" w:hAnsi="Calibri" w:cs="Calibri"/>
        </w:rPr>
        <w:tab/>
        <w:t>Auditor of Auditing Organization/Entity must preferably have a minimum 3 years of experience in IT audit of Banking and Financial services preferably in the Securities Market. E.g. Stock exchanges, clearing houses, depositories, stockbrokers, depository participants, mutual funds, etc. The audit experience should have covered all the major areas mentioned under various cybersecurity frameworks and guidelines issued by SEBI from time to time. Auditing experience of the Cybersecurity Framework under ISO 27001 for an organization will be an added advantage.</w:t>
      </w:r>
    </w:p>
    <w:p w14:paraId="4A439972" w14:textId="64E565EF" w:rsidR="00CD78EA" w:rsidRPr="00CD78EA" w:rsidRDefault="000B6ED2" w:rsidP="00CD78EA">
      <w:pPr>
        <w:ind w:left="720" w:hanging="720"/>
        <w:jc w:val="both"/>
        <w:rPr>
          <w:rFonts w:ascii="Calibri" w:hAnsi="Calibri" w:cs="Calibri"/>
          <w:strike/>
        </w:rPr>
      </w:pPr>
      <w:r w:rsidRPr="000B6ED2">
        <w:rPr>
          <w:rFonts w:ascii="Calibri" w:hAnsi="Calibri" w:cs="Calibri"/>
        </w:rPr>
        <w:t>4.</w:t>
      </w:r>
      <w:r w:rsidRPr="000B6ED2">
        <w:rPr>
          <w:rFonts w:ascii="Calibri" w:hAnsi="Calibri" w:cs="Calibri"/>
        </w:rPr>
        <w:tab/>
        <w:t xml:space="preserve">The Auditor of Auditing Organization/Entity must have experience in/ direct access to experienced resources in the areas covered under SEBI-CSCRF. </w:t>
      </w:r>
    </w:p>
    <w:p w14:paraId="32177FB2" w14:textId="08CDFC2D" w:rsidR="000B6ED2" w:rsidRPr="00692EF6" w:rsidRDefault="00CD78EA" w:rsidP="00CD78EA">
      <w:pPr>
        <w:ind w:left="720" w:hanging="720"/>
        <w:jc w:val="both"/>
        <w:rPr>
          <w:rFonts w:ascii="Calibri" w:hAnsi="Calibri" w:cs="Calibri"/>
        </w:rPr>
      </w:pPr>
      <w:r>
        <w:rPr>
          <w:rFonts w:ascii="Calibri" w:hAnsi="Calibri" w:cs="Calibri"/>
        </w:rPr>
        <w:t>5.</w:t>
      </w:r>
      <w:r>
        <w:rPr>
          <w:rFonts w:ascii="Calibri" w:hAnsi="Calibri" w:cs="Calibri"/>
        </w:rPr>
        <w:tab/>
      </w:r>
      <w:r w:rsidR="000B6ED2" w:rsidRPr="000B6ED2">
        <w:rPr>
          <w:rFonts w:ascii="Calibri" w:hAnsi="Calibri" w:cs="Calibri"/>
        </w:rPr>
        <w:t xml:space="preserve">The Auditor of Auditing Organization/Entity shall have ISMS/ IT audit/ governance </w:t>
      </w:r>
      <w:r w:rsidR="000B6ED2" w:rsidRPr="00692EF6">
        <w:rPr>
          <w:rFonts w:ascii="Calibri" w:hAnsi="Calibri" w:cs="Calibri"/>
        </w:rPr>
        <w:t xml:space="preserve">frameworks and processes conforming to leading industry practices like COBIT.  </w:t>
      </w:r>
    </w:p>
    <w:p w14:paraId="57C8D6CB" w14:textId="03A3E854" w:rsidR="00CD78EA" w:rsidRPr="000B6ED2" w:rsidRDefault="00CD78EA" w:rsidP="00CD78EA">
      <w:pPr>
        <w:ind w:left="720" w:hanging="720"/>
        <w:jc w:val="both"/>
        <w:rPr>
          <w:rFonts w:ascii="Calibri" w:hAnsi="Calibri" w:cs="Calibri"/>
        </w:rPr>
      </w:pPr>
      <w:r w:rsidRPr="00692EF6">
        <w:rPr>
          <w:rFonts w:ascii="Calibri" w:hAnsi="Calibri" w:cs="Calibri"/>
        </w:rPr>
        <w:t>6.</w:t>
      </w:r>
      <w:r w:rsidRPr="00692EF6">
        <w:rPr>
          <w:rFonts w:ascii="Calibri" w:hAnsi="Calibri" w:cs="Calibri"/>
        </w:rPr>
        <w:tab/>
        <w:t>The CERT-In empanelled Auditing Organization/Entity can perform a maximum of 3 consecutive year</w:t>
      </w:r>
      <w:r w:rsidR="001D497E">
        <w:rPr>
          <w:rFonts w:ascii="Calibri" w:hAnsi="Calibri" w:cs="Calibri"/>
        </w:rPr>
        <w:t>s</w:t>
      </w:r>
      <w:r w:rsidRPr="00692EF6">
        <w:rPr>
          <w:rFonts w:ascii="Calibri" w:hAnsi="Calibri" w:cs="Calibri"/>
        </w:rPr>
        <w:t xml:space="preserve"> audits of the CAAS Vendor. However, such CERT-In empanelled Auditing Organization/Entity shall be eligible for reappointment after a cooling-off period of </w:t>
      </w:r>
      <w:r w:rsidR="00D82DB4">
        <w:rPr>
          <w:rFonts w:ascii="Calibri" w:hAnsi="Calibri" w:cs="Calibri"/>
        </w:rPr>
        <w:t>Two</w:t>
      </w:r>
      <w:r w:rsidR="00D82DB4" w:rsidRPr="00692EF6">
        <w:rPr>
          <w:rFonts w:ascii="Calibri" w:hAnsi="Calibri" w:cs="Calibri"/>
        </w:rPr>
        <w:t xml:space="preserve"> </w:t>
      </w:r>
      <w:r w:rsidRPr="00692EF6">
        <w:rPr>
          <w:rFonts w:ascii="Calibri" w:hAnsi="Calibri" w:cs="Calibri"/>
        </w:rPr>
        <w:t>year.</w:t>
      </w:r>
    </w:p>
    <w:p w14:paraId="17D2606D" w14:textId="02AD7730" w:rsidR="000B6ED2" w:rsidRPr="000B6ED2" w:rsidRDefault="00CD78EA" w:rsidP="000B6ED2">
      <w:pPr>
        <w:ind w:left="720" w:hanging="720"/>
        <w:jc w:val="both"/>
        <w:rPr>
          <w:rFonts w:ascii="Calibri" w:hAnsi="Calibri" w:cs="Calibri"/>
        </w:rPr>
      </w:pPr>
      <w:r>
        <w:rPr>
          <w:rFonts w:ascii="Calibri" w:hAnsi="Calibri" w:cs="Calibri"/>
        </w:rPr>
        <w:t>7</w:t>
      </w:r>
      <w:r w:rsidR="000B6ED2" w:rsidRPr="000B6ED2">
        <w:rPr>
          <w:rFonts w:ascii="Calibri" w:hAnsi="Calibri" w:cs="Calibri"/>
        </w:rPr>
        <w:t>.</w:t>
      </w:r>
      <w:r w:rsidR="000B6ED2" w:rsidRPr="000B6ED2">
        <w:rPr>
          <w:rFonts w:ascii="Calibri" w:hAnsi="Calibri" w:cs="Calibri"/>
        </w:rPr>
        <w:tab/>
        <w:t xml:space="preserve">The Auditor &amp; Auditing Organization/Entity must not have any conflict of interest in conducting fair, objective and independent audit of CAAS Vendor. It shall not have been engaged over the last two years in any consulting engagement with any departments/ units of the CAAS Vendor being audited. </w:t>
      </w:r>
    </w:p>
    <w:p w14:paraId="1B20FD32" w14:textId="5871CFA4" w:rsidR="000B6ED2" w:rsidRPr="000B6ED2" w:rsidRDefault="00CD78EA" w:rsidP="000B6ED2">
      <w:pPr>
        <w:ind w:left="720" w:hanging="720"/>
        <w:jc w:val="both"/>
        <w:rPr>
          <w:rFonts w:ascii="Calibri" w:hAnsi="Calibri" w:cs="Calibri"/>
        </w:rPr>
      </w:pPr>
      <w:r>
        <w:rPr>
          <w:rFonts w:ascii="Calibri" w:hAnsi="Calibri" w:cs="Calibri"/>
        </w:rPr>
        <w:t>8</w:t>
      </w:r>
      <w:r w:rsidR="000B6ED2" w:rsidRPr="000B6ED2">
        <w:rPr>
          <w:rFonts w:ascii="Calibri" w:hAnsi="Calibri" w:cs="Calibri"/>
        </w:rPr>
        <w:t>.</w:t>
      </w:r>
      <w:r w:rsidR="000B6ED2" w:rsidRPr="000B6ED2">
        <w:rPr>
          <w:rFonts w:ascii="Calibri" w:hAnsi="Calibri" w:cs="Calibri"/>
        </w:rPr>
        <w:tab/>
        <w:t xml:space="preserve">The Auditor &amp; Auditing Organization/Entity may not have any cases pending against its previous auditees, which fall under SEBI’s Jurisdiction, which point to its incompetence and/or unsuitability to perform the audit task. </w:t>
      </w:r>
    </w:p>
    <w:p w14:paraId="0D1BFB85" w14:textId="6D4303DA" w:rsidR="000B6ED2" w:rsidRPr="000B6ED2" w:rsidRDefault="00CD78EA" w:rsidP="000B6ED2">
      <w:pPr>
        <w:ind w:left="720" w:hanging="720"/>
        <w:jc w:val="both"/>
        <w:rPr>
          <w:rFonts w:ascii="Calibri" w:hAnsi="Calibri" w:cs="Calibri"/>
        </w:rPr>
      </w:pPr>
      <w:r>
        <w:rPr>
          <w:rFonts w:ascii="Calibri" w:hAnsi="Calibri" w:cs="Calibri"/>
        </w:rPr>
        <w:t>9</w:t>
      </w:r>
      <w:r w:rsidR="000B6ED2" w:rsidRPr="000B6ED2">
        <w:rPr>
          <w:rFonts w:ascii="Calibri" w:hAnsi="Calibri" w:cs="Calibri"/>
        </w:rPr>
        <w:t>.</w:t>
      </w:r>
      <w:r w:rsidR="000B6ED2" w:rsidRPr="000B6ED2">
        <w:rPr>
          <w:rFonts w:ascii="Calibri" w:hAnsi="Calibri" w:cs="Calibri"/>
        </w:rPr>
        <w:tab/>
        <w:t xml:space="preserve">The auditor of Auditing Organization/Entity must compulsorily use only licensed tools. </w:t>
      </w:r>
    </w:p>
    <w:p w14:paraId="2FB96336" w14:textId="0DEFA05C" w:rsidR="000B6ED2" w:rsidRPr="000B6ED2" w:rsidRDefault="00CD78EA" w:rsidP="000B6ED2">
      <w:pPr>
        <w:ind w:left="720" w:hanging="720"/>
        <w:jc w:val="both"/>
        <w:rPr>
          <w:rFonts w:ascii="Calibri" w:hAnsi="Calibri" w:cs="Calibri"/>
          <w:lang w:val="en-US"/>
        </w:rPr>
      </w:pPr>
      <w:r>
        <w:rPr>
          <w:rFonts w:ascii="Calibri" w:hAnsi="Calibri" w:cs="Calibri"/>
        </w:rPr>
        <w:t>10</w:t>
      </w:r>
      <w:r w:rsidR="000B6ED2" w:rsidRPr="000B6ED2">
        <w:rPr>
          <w:rFonts w:ascii="Calibri" w:hAnsi="Calibri" w:cs="Calibri"/>
        </w:rPr>
        <w:t>.</w:t>
      </w:r>
      <w:r w:rsidR="000B6ED2" w:rsidRPr="000B6ED2">
        <w:rPr>
          <w:rFonts w:ascii="Calibri" w:hAnsi="Calibri" w:cs="Calibri"/>
        </w:rPr>
        <w:tab/>
        <w:t>The Auditing Organization/Entity must compulsorily enter into a Non-disclosure Agreement (NDA) with the auditee. Under no circumstances, the data sought during the review or the audit report subsequently should leave the jurisdiction of India.</w:t>
      </w:r>
    </w:p>
    <w:p w14:paraId="3E2064F7" w14:textId="77777777" w:rsidR="000B6ED2" w:rsidRPr="000B6ED2" w:rsidRDefault="000B6ED2" w:rsidP="00130EF5">
      <w:pPr>
        <w:jc w:val="center"/>
        <w:rPr>
          <w:rFonts w:ascii="Calibri" w:hAnsi="Calibri" w:cs="Calibri"/>
          <w:lang w:val="en-US"/>
        </w:rPr>
      </w:pPr>
    </w:p>
    <w:sectPr w:rsidR="000B6ED2" w:rsidRPr="000B6ED2" w:rsidSect="00D63025">
      <w:footerReference w:type="even" r:id="rId8"/>
      <w:footerReference w:type="default" r:id="rId9"/>
      <w:footerReference w:type="first" r:id="rId10"/>
      <w:pgSz w:w="11906" w:h="16838"/>
      <w:pgMar w:top="851" w:right="17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48334" w14:textId="77777777" w:rsidR="006A24B6" w:rsidRDefault="006A24B6" w:rsidP="00C275D4">
      <w:pPr>
        <w:spacing w:after="0" w:line="240" w:lineRule="auto"/>
      </w:pPr>
      <w:r>
        <w:separator/>
      </w:r>
    </w:p>
  </w:endnote>
  <w:endnote w:type="continuationSeparator" w:id="0">
    <w:p w14:paraId="53925729" w14:textId="77777777" w:rsidR="006A24B6" w:rsidRDefault="006A24B6" w:rsidP="00C27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E5F4A" w14:textId="0A7AC8CD" w:rsidR="00C275D4" w:rsidRDefault="00C275D4">
    <w:pPr>
      <w:pStyle w:val="Footer"/>
    </w:pPr>
    <w:r>
      <w:rPr>
        <w:noProof/>
      </w:rPr>
      <mc:AlternateContent>
        <mc:Choice Requires="wps">
          <w:drawing>
            <wp:anchor distT="0" distB="0" distL="0" distR="0" simplePos="0" relativeHeight="251659264" behindDoc="0" locked="0" layoutInCell="1" allowOverlap="1" wp14:anchorId="237624BC" wp14:editId="1F9D46CA">
              <wp:simplePos x="635" y="635"/>
              <wp:positionH relativeFrom="page">
                <wp:align>center</wp:align>
              </wp:positionH>
              <wp:positionV relativeFrom="page">
                <wp:align>bottom</wp:align>
              </wp:positionV>
              <wp:extent cx="949960" cy="370205"/>
              <wp:effectExtent l="0" t="0" r="2540" b="0"/>
              <wp:wrapNone/>
              <wp:docPr id="734977563"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7F20A4C3" w14:textId="225DCFBE"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7624BC" id="_x0000_t202" coordsize="21600,21600" o:spt="202" path="m,l,21600r21600,l21600,xe">
              <v:stroke joinstyle="miter"/>
              <v:path gradientshapeok="t" o:connecttype="rect"/>
            </v:shapetype>
            <v:shape id="Text Box 2"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textbox style="mso-fit-shape-to-text:t" inset="0,0,0,15pt">
                <w:txbxContent>
                  <w:p w14:paraId="7F20A4C3" w14:textId="225DCFBE"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2BFB7" w14:textId="0602BDBB" w:rsidR="00C275D4" w:rsidRDefault="00C275D4">
    <w:pPr>
      <w:pStyle w:val="Footer"/>
    </w:pPr>
    <w:r>
      <w:rPr>
        <w:noProof/>
      </w:rPr>
      <mc:AlternateContent>
        <mc:Choice Requires="wps">
          <w:drawing>
            <wp:anchor distT="0" distB="0" distL="0" distR="0" simplePos="0" relativeHeight="251660288" behindDoc="0" locked="0" layoutInCell="1" allowOverlap="1" wp14:anchorId="323575E4" wp14:editId="6E70B87F">
              <wp:simplePos x="914400" y="10058400"/>
              <wp:positionH relativeFrom="page">
                <wp:align>center</wp:align>
              </wp:positionH>
              <wp:positionV relativeFrom="page">
                <wp:align>bottom</wp:align>
              </wp:positionV>
              <wp:extent cx="949960" cy="370205"/>
              <wp:effectExtent l="0" t="0" r="2540" b="0"/>
              <wp:wrapNone/>
              <wp:docPr id="1084916903"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6826A45E" w14:textId="2D7CA15C"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3575E4" id="_x0000_t202" coordsize="21600,21600" o:spt="202" path="m,l,21600r21600,l21600,xe">
              <v:stroke joinstyle="miter"/>
              <v:path gradientshapeok="t" o:connecttype="rect"/>
            </v:shapetype>
            <v:shape id="Text Box 3"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textbox style="mso-fit-shape-to-text:t" inset="0,0,0,15pt">
                <w:txbxContent>
                  <w:p w14:paraId="6826A45E" w14:textId="2D7CA15C"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B245" w14:textId="6AF7F310" w:rsidR="00C275D4" w:rsidRDefault="00C275D4">
    <w:pPr>
      <w:pStyle w:val="Footer"/>
    </w:pPr>
    <w:r>
      <w:rPr>
        <w:noProof/>
      </w:rPr>
      <mc:AlternateContent>
        <mc:Choice Requires="wps">
          <w:drawing>
            <wp:anchor distT="0" distB="0" distL="0" distR="0" simplePos="0" relativeHeight="251658240" behindDoc="0" locked="0" layoutInCell="1" allowOverlap="1" wp14:anchorId="4534AFF0" wp14:editId="166335AC">
              <wp:simplePos x="635" y="635"/>
              <wp:positionH relativeFrom="page">
                <wp:align>center</wp:align>
              </wp:positionH>
              <wp:positionV relativeFrom="page">
                <wp:align>bottom</wp:align>
              </wp:positionV>
              <wp:extent cx="949960" cy="370205"/>
              <wp:effectExtent l="0" t="0" r="2540" b="0"/>
              <wp:wrapNone/>
              <wp:docPr id="15932864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7ED8C85D" w14:textId="5D8B9AC2"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34AFF0" id="_x0000_t202" coordsize="21600,21600" o:spt="202" path="m,l,21600r21600,l21600,xe">
              <v:stroke joinstyle="miter"/>
              <v:path gradientshapeok="t" o:connecttype="rect"/>
            </v:shapetype>
            <v:shape id="Text Box 1"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textbox style="mso-fit-shape-to-text:t" inset="0,0,0,15pt">
                <w:txbxContent>
                  <w:p w14:paraId="7ED8C85D" w14:textId="5D8B9AC2" w:rsidR="00C275D4" w:rsidRPr="00C275D4" w:rsidRDefault="00C275D4" w:rsidP="00C275D4">
                    <w:pPr>
                      <w:spacing w:after="0"/>
                      <w:rPr>
                        <w:rFonts w:ascii="Aptos" w:eastAsia="Aptos" w:hAnsi="Aptos" w:cs="Aptos"/>
                        <w:noProof/>
                        <w:color w:val="008000"/>
                        <w:sz w:val="20"/>
                        <w:szCs w:val="20"/>
                      </w:rPr>
                    </w:pPr>
                    <w:r w:rsidRPr="00C275D4">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2EC5" w14:textId="77777777" w:rsidR="006A24B6" w:rsidRDefault="006A24B6" w:rsidP="00C275D4">
      <w:pPr>
        <w:spacing w:after="0" w:line="240" w:lineRule="auto"/>
      </w:pPr>
      <w:r>
        <w:separator/>
      </w:r>
    </w:p>
  </w:footnote>
  <w:footnote w:type="continuationSeparator" w:id="0">
    <w:p w14:paraId="1C88C92D" w14:textId="77777777" w:rsidR="006A24B6" w:rsidRDefault="006A24B6" w:rsidP="00C275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D674E"/>
    <w:multiLevelType w:val="hybridMultilevel"/>
    <w:tmpl w:val="D56067EA"/>
    <w:lvl w:ilvl="0" w:tplc="C7D4B8B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A6631E"/>
    <w:multiLevelType w:val="hybridMultilevel"/>
    <w:tmpl w:val="A8BCB5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E31474B"/>
    <w:multiLevelType w:val="hybridMultilevel"/>
    <w:tmpl w:val="BCDA89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C5124A5"/>
    <w:multiLevelType w:val="hybridMultilevel"/>
    <w:tmpl w:val="D56067E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B5415B5"/>
    <w:multiLevelType w:val="hybridMultilevel"/>
    <w:tmpl w:val="9DC28662"/>
    <w:lvl w:ilvl="0" w:tplc="7A76863E">
      <w:start w:val="1"/>
      <w:numFmt w:val="upp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5" w15:restartNumberingAfterBreak="0">
    <w:nsid w:val="615F5270"/>
    <w:multiLevelType w:val="hybridMultilevel"/>
    <w:tmpl w:val="6BD42A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966419A"/>
    <w:multiLevelType w:val="hybridMultilevel"/>
    <w:tmpl w:val="A8BCB5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E321721"/>
    <w:multiLevelType w:val="hybridMultilevel"/>
    <w:tmpl w:val="A8BCB5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4420838">
    <w:abstractNumId w:val="5"/>
  </w:num>
  <w:num w:numId="2" w16cid:durableId="803892298">
    <w:abstractNumId w:val="1"/>
  </w:num>
  <w:num w:numId="3" w16cid:durableId="1225679467">
    <w:abstractNumId w:val="2"/>
  </w:num>
  <w:num w:numId="4" w16cid:durableId="2039233288">
    <w:abstractNumId w:val="0"/>
  </w:num>
  <w:num w:numId="5" w16cid:durableId="325061580">
    <w:abstractNumId w:val="3"/>
  </w:num>
  <w:num w:numId="6" w16cid:durableId="64572191">
    <w:abstractNumId w:val="7"/>
  </w:num>
  <w:num w:numId="7" w16cid:durableId="2001690700">
    <w:abstractNumId w:val="6"/>
  </w:num>
  <w:num w:numId="8" w16cid:durableId="15809392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04A"/>
    <w:rsid w:val="00031E78"/>
    <w:rsid w:val="000B09AF"/>
    <w:rsid w:val="000B6ED2"/>
    <w:rsid w:val="000F0D65"/>
    <w:rsid w:val="00111DF3"/>
    <w:rsid w:val="00130EF5"/>
    <w:rsid w:val="00197712"/>
    <w:rsid w:val="001C2DDE"/>
    <w:rsid w:val="001D497E"/>
    <w:rsid w:val="002220C6"/>
    <w:rsid w:val="0023604A"/>
    <w:rsid w:val="00241A16"/>
    <w:rsid w:val="002A3AAE"/>
    <w:rsid w:val="00420006"/>
    <w:rsid w:val="00421CE6"/>
    <w:rsid w:val="00443AB9"/>
    <w:rsid w:val="00492F09"/>
    <w:rsid w:val="00513729"/>
    <w:rsid w:val="005327C1"/>
    <w:rsid w:val="005622CF"/>
    <w:rsid w:val="00566FCB"/>
    <w:rsid w:val="005F3026"/>
    <w:rsid w:val="00616ACC"/>
    <w:rsid w:val="0065370E"/>
    <w:rsid w:val="00691466"/>
    <w:rsid w:val="00692EF6"/>
    <w:rsid w:val="006A24B6"/>
    <w:rsid w:val="006A6760"/>
    <w:rsid w:val="006C2E44"/>
    <w:rsid w:val="006F10E8"/>
    <w:rsid w:val="006F17B7"/>
    <w:rsid w:val="00705F3A"/>
    <w:rsid w:val="0070691B"/>
    <w:rsid w:val="00725297"/>
    <w:rsid w:val="007361F2"/>
    <w:rsid w:val="008011D2"/>
    <w:rsid w:val="00811C51"/>
    <w:rsid w:val="00827454"/>
    <w:rsid w:val="0083710F"/>
    <w:rsid w:val="00967B95"/>
    <w:rsid w:val="00A007B8"/>
    <w:rsid w:val="00AA4A27"/>
    <w:rsid w:val="00AB0DEB"/>
    <w:rsid w:val="00AC501A"/>
    <w:rsid w:val="00AD142D"/>
    <w:rsid w:val="00B07238"/>
    <w:rsid w:val="00BE6D32"/>
    <w:rsid w:val="00BF5C1C"/>
    <w:rsid w:val="00C1634C"/>
    <w:rsid w:val="00C275D4"/>
    <w:rsid w:val="00C70365"/>
    <w:rsid w:val="00CC09B8"/>
    <w:rsid w:val="00CD78EA"/>
    <w:rsid w:val="00D63025"/>
    <w:rsid w:val="00D82DB4"/>
    <w:rsid w:val="00DB3DA3"/>
    <w:rsid w:val="00DD4324"/>
    <w:rsid w:val="00E33C8F"/>
    <w:rsid w:val="00E75A35"/>
    <w:rsid w:val="00E80894"/>
    <w:rsid w:val="00E827F3"/>
    <w:rsid w:val="00E92472"/>
    <w:rsid w:val="00EC4818"/>
    <w:rsid w:val="00FA5556"/>
    <w:rsid w:val="00FB0F99"/>
    <w:rsid w:val="00FC22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AD94E"/>
  <w15:chartTrackingRefBased/>
  <w15:docId w15:val="{BDE021F3-4C0E-4B17-8C5C-75DC7AA63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025"/>
  </w:style>
  <w:style w:type="paragraph" w:styleId="Heading1">
    <w:name w:val="heading 1"/>
    <w:basedOn w:val="Normal"/>
    <w:next w:val="Normal"/>
    <w:link w:val="Heading1Char"/>
    <w:uiPriority w:val="9"/>
    <w:qFormat/>
    <w:rsid w:val="002360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60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60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60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60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60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60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60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60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60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60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60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60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60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60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60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60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604A"/>
    <w:rPr>
      <w:rFonts w:eastAsiaTheme="majorEastAsia" w:cstheme="majorBidi"/>
      <w:color w:val="272727" w:themeColor="text1" w:themeTint="D8"/>
    </w:rPr>
  </w:style>
  <w:style w:type="paragraph" w:styleId="Title">
    <w:name w:val="Title"/>
    <w:basedOn w:val="Normal"/>
    <w:next w:val="Normal"/>
    <w:link w:val="TitleChar"/>
    <w:uiPriority w:val="10"/>
    <w:qFormat/>
    <w:rsid w:val="002360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60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60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60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604A"/>
    <w:pPr>
      <w:spacing w:before="160"/>
      <w:jc w:val="center"/>
    </w:pPr>
    <w:rPr>
      <w:i/>
      <w:iCs/>
      <w:color w:val="404040" w:themeColor="text1" w:themeTint="BF"/>
    </w:rPr>
  </w:style>
  <w:style w:type="character" w:customStyle="1" w:styleId="QuoteChar">
    <w:name w:val="Quote Char"/>
    <w:basedOn w:val="DefaultParagraphFont"/>
    <w:link w:val="Quote"/>
    <w:uiPriority w:val="29"/>
    <w:rsid w:val="0023604A"/>
    <w:rPr>
      <w:i/>
      <w:iCs/>
      <w:color w:val="404040" w:themeColor="text1" w:themeTint="BF"/>
    </w:rPr>
  </w:style>
  <w:style w:type="paragraph" w:styleId="ListParagraph">
    <w:name w:val="List Paragraph"/>
    <w:basedOn w:val="Normal"/>
    <w:uiPriority w:val="34"/>
    <w:qFormat/>
    <w:rsid w:val="0023604A"/>
    <w:pPr>
      <w:ind w:left="720"/>
      <w:contextualSpacing/>
    </w:pPr>
  </w:style>
  <w:style w:type="character" w:styleId="IntenseEmphasis">
    <w:name w:val="Intense Emphasis"/>
    <w:basedOn w:val="DefaultParagraphFont"/>
    <w:uiPriority w:val="21"/>
    <w:qFormat/>
    <w:rsid w:val="0023604A"/>
    <w:rPr>
      <w:i/>
      <w:iCs/>
      <w:color w:val="0F4761" w:themeColor="accent1" w:themeShade="BF"/>
    </w:rPr>
  </w:style>
  <w:style w:type="paragraph" w:styleId="IntenseQuote">
    <w:name w:val="Intense Quote"/>
    <w:basedOn w:val="Normal"/>
    <w:next w:val="Normal"/>
    <w:link w:val="IntenseQuoteChar"/>
    <w:uiPriority w:val="30"/>
    <w:qFormat/>
    <w:rsid w:val="002360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604A"/>
    <w:rPr>
      <w:i/>
      <w:iCs/>
      <w:color w:val="0F4761" w:themeColor="accent1" w:themeShade="BF"/>
    </w:rPr>
  </w:style>
  <w:style w:type="character" w:styleId="IntenseReference">
    <w:name w:val="Intense Reference"/>
    <w:basedOn w:val="DefaultParagraphFont"/>
    <w:uiPriority w:val="32"/>
    <w:qFormat/>
    <w:rsid w:val="0023604A"/>
    <w:rPr>
      <w:b/>
      <w:bCs/>
      <w:smallCaps/>
      <w:color w:val="0F4761" w:themeColor="accent1" w:themeShade="BF"/>
      <w:spacing w:val="5"/>
    </w:rPr>
  </w:style>
  <w:style w:type="paragraph" w:styleId="Footer">
    <w:name w:val="footer"/>
    <w:basedOn w:val="Normal"/>
    <w:link w:val="FooterChar"/>
    <w:uiPriority w:val="99"/>
    <w:unhideWhenUsed/>
    <w:rsid w:val="00C275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5D4"/>
  </w:style>
  <w:style w:type="character" w:styleId="Hyperlink">
    <w:name w:val="Hyperlink"/>
    <w:basedOn w:val="DefaultParagraphFont"/>
    <w:uiPriority w:val="99"/>
    <w:unhideWhenUsed/>
    <w:rsid w:val="00FA5556"/>
    <w:rPr>
      <w:color w:val="467886" w:themeColor="hyperlink"/>
      <w:u w:val="single"/>
    </w:rPr>
  </w:style>
  <w:style w:type="character" w:styleId="UnresolvedMention">
    <w:name w:val="Unresolved Mention"/>
    <w:basedOn w:val="DefaultParagraphFont"/>
    <w:uiPriority w:val="99"/>
    <w:semiHidden/>
    <w:unhideWhenUsed/>
    <w:rsid w:val="00FA5556"/>
    <w:rPr>
      <w:color w:val="605E5C"/>
      <w:shd w:val="clear" w:color="auto" w:fill="E1DFDD"/>
    </w:rPr>
  </w:style>
  <w:style w:type="paragraph" w:styleId="Revision">
    <w:name w:val="Revision"/>
    <w:hidden/>
    <w:uiPriority w:val="99"/>
    <w:semiHidden/>
    <w:rsid w:val="00D82D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inspection.nseindia.com/empanelment_auditor/auditor/viewEmpanelledAudi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Surbhi Gautam (INSP-SYSCYB)</dc:creator>
  <cp:keywords/>
  <dc:description/>
  <cp:lastModifiedBy>Bharat Gandhi (Access To Markets)</cp:lastModifiedBy>
  <cp:revision>4</cp:revision>
  <dcterms:created xsi:type="dcterms:W3CDTF">2026-04-15T10:09:00Z</dcterms:created>
  <dcterms:modified xsi:type="dcterms:W3CDTF">2026-04-16T04:08:00Z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5ef79f3d,2bcede1b,40aa84a7</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2025-12-24T09:30:38Z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86a9df72-51c9-4077-a9ed-76acc79bd30e</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